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45B" w:rsidRDefault="00E8645B">
      <w:pPr>
        <w:rPr>
          <w:rFonts w:hAnsi="Times New Roman" w:cs="Times New Roman"/>
          <w:color w:val="000000"/>
          <w:sz w:val="24"/>
          <w:szCs w:val="24"/>
        </w:rPr>
      </w:pPr>
    </w:p>
    <w:p w:rsidR="00E8645B" w:rsidRPr="009D2E8A" w:rsidRDefault="009D2E8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8645B" w:rsidRPr="009D2E8A" w:rsidRDefault="009D2E8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эксплуатирующих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баллоны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эксплуатирующих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эксплуатирующих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proofErr w:type="gramEnd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ловий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опре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эксплуатирующих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2.1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2.1.1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proofErr w:type="gramStart"/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риказ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884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2.1.6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5.12.2020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эксплуатирующих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стоящей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сжатыми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пропан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бутан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газорезки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избыточного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перегреве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сварщика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содержащимися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уроненными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катящимися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неосторожном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кромками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шероховатостью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обморожения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proofErr w:type="gramStart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утвержденный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ежегодной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переаттестацией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proofErr w:type="gramEnd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19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стажировке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Очередная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комиссиями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теоретических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инспектора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повторной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решается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территориальными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экзаменов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оформ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протоколом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прошедшее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Специалисты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ведению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внеочередную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обслужив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центре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имеющем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лицензию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способам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аттестацией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ДОПОГ–свидетельство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последующие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графиком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предрейсовый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рейсом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бильным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предрейсовый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рейсом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Отметка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прохождении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сделана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путево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эксплуатирующие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газовом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хозяйстве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сжатых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тяжелее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имерно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утечках</w:t>
      </w:r>
      <w:proofErr w:type="gramEnd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стараются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нижние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подвалы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ямы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пропан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бутан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воспламеняться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+550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+750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темпер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атурой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обладает</w:t>
      </w:r>
      <w:proofErr w:type="gramEnd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зажженная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спичка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искра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горящая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папироса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искры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поддерживает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28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бутаном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увеличиваться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сравнению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пропанового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+20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Цельсия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увеличение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11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солнечными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лучами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100-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процентном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заполнении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разрушение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наполняться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85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изб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ежание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нагреве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кипения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град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бутана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град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температурах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пропан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бутан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кипит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превращается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Превращенный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избыточное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пропан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Бутан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proofErr w:type="gramStart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превращается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идти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штуцера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бутаном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левую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резьбу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четкого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сферической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товарный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порожнего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proofErr w:type="gramEnd"/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емкостью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55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точностью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0,2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пробное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гидравлическое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55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включительно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точностью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0,3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круглой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емкостью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55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емкостью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55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выбиты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паспортные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покрывается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бесцветным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лаком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обводится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отличительной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Окраска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пропан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бутан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красная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белыми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буквами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указывающая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Окраска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голубая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указывающий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черный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Окраска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масляными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эмалевыми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нитрокрасками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3.6.4.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освидетельствуются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веса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гидравлическое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= 25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9D2E8A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2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3.6.5.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пересадка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заводах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наполнителях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связанного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разборкой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бочем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3.6.6.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насадку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выпуска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вывертывания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дегазации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окраска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наполненных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укрепление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горло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винах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3.6.7.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«Огнеопасно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3.6.8.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запирающихся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запирающимися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закрывающими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жалюзи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этажа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цокольных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подвальных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этажей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ребных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несгораемые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просадку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0,1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прикреплены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основаниям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стенам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вносятся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докумен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тального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ИТР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служащих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составной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нарушают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производственн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Выдача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принужда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самовольное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возобновление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остановленных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Госгортехнадзора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инспекцией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профсоюза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непринятие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подчиненными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привлечения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абочего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газовых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электричес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9D2E8A">
        <w:rPr>
          <w:lang w:val="ru-RU"/>
        </w:rPr>
        <w:br/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рофессиональных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работников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замы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резаемых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навесного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переме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щении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цодеждой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удования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вышесто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ящего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заболевани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голенные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гигие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инфицирующими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предъявить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ячейках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неплотность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примыкания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накидной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8645B" w:rsidRPr="009D2E8A" w:rsidRDefault="009D2E8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неисправности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ежегодном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разбитом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стекле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неподвижности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8645B" w:rsidRPr="009D2E8A" w:rsidRDefault="009D2E8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аличии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взрыво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Default="009D2E8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оснастки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приспособлений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комплект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Приступая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длительного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олнении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дополнительный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промасленной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простейшим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способам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тренировку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рименению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типовых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отраслевых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нормах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неотремонтированной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загрязненной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воздействующих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газосварке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газорезке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закрытого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свето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фильтрами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-3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расхода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-7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1500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-12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1500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взрывобезопасном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полога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козырька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разгрузочной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разгрузочная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площадка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обозначенные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искронеобразующим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осуществляющий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лицензионную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карточку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«Перевозка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ОГ»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занием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маршрут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свидетельство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перевозящего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свидетельство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ДОПОГ–свидетельство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карточку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товарно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накладную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телефоны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автотранспортной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грузоотправителя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грузополучателя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верхнем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левом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углу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путевого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красным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цветом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сделана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отметка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«Опасный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графе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«Особые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отметки»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списку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постановке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4.4.9.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подготовленные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окраска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Окраска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ГОСТу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сильная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коррозия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заметное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пересадка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заводах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наполнителях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письменное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постоянных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надлежащим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медицинск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Отметка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медицинском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контроле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сделана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путевом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медаптечки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главные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ступать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поручил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приемами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подручным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несогласованных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противоречащие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выданными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химчистки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стирки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сушки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мени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мусором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прикосновение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кислородным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замасленными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предохр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анены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жиров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вывод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взвешиванием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бутана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окружающе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+20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град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+45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град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16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+47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град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рассчитан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16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+45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служит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сниженного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заданном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расхода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вертика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незакрепленными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использующиеся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азах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бутана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цокольных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подвальных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шахтах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радиаторов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предохраняющих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оставляться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искру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колпака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утечку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мыльной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эмульсией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(50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хозяйственного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мыла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потребления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невозможен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возвращен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склад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пишется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мелом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«Баллон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неисправен»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«Осторожно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Полный»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бутана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несоблюдении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загазованном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взрывоопасен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пожароопасен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сгоранием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цвету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неполном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сгорании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выделяет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угарный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окись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углерода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смертельным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исходом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порожних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оставалось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остаточное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избыточное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9D2E8A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2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несоблюдении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попадет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образуется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«гремучая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смесь»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затруднено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работающими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газифицированными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агрегатами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отключенной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включающее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релки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резаки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бесконтейнерной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5.1.18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рессорных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углекислотных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порошковых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вместимостью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кладками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обитые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войлоком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резиной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мягким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трубе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стационарный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искрогаситель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выхлопная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труба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выведена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едней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автомашине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таблички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автомобильным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5.1.18.2.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навернуты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предохр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анительные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колпаки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5.1.18.3.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гнезда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обитые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войлоком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мягким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5.1.18.4.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бруски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гнездами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5.1.18.5.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колпаками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стор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ону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поперек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Наращивание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Разгружать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5.1.18.6.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порожние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личным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содержимым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перевозящем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ичии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сидений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стоянка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автомашин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груженных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массовое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скопление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люд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рынки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магазины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зрелищные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5.1.18.7.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летнее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5.1.18.8.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отклоняться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торможение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обгон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ездить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выключенным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сцеплением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коробкой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спортном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транспорта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крайней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маршруте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5.1.18.9.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приспособленные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перекатывать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5.1.19.1.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5.1.19.2.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разгружать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5.1.19.3.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прицепной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5.1.19.4.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5.1.19.5.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носилках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санках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5.1.19.6.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грузоподъемными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спортного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5.1.19.7.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Рекоменд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запираться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прорези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жалюзные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жалюзи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нижне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совместное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горючим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разделением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глухой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перегородкой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Шкафы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размещено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горючим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глухих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несгораемых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5.1.22.1.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5.1.22.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насаженными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башмаками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гнезда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барьером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5.1.22.3.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горизо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нтальном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рамах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клапаны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колпаками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обращены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5.1.22.4.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навесы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защищающие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негорючих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башмаками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брусьев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горизонтальными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рядами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5.1.22.5.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обращены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5.1.22.6.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5.1.22.7.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кузнечные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паяльные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5.1.22.8.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Порожние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табличками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«Полные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«Порожние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5.1.22.9.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заперт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«Огнеопасно»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едотвращающие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складам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5.1.24.1.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Склады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сжиженного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рассчитаны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одновременное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(1500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расположены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промпредприятий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разрывом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строений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5.1.24.2.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Склады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одноэтажными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окрытием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легкого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чердачных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5.1.24.3.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несгораемого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5.1.24.4.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складов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ровными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нескользящими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несгораемых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искл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ючающих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5.1.24.5.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открываться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5.1.24.6.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естественная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пятикратным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воздухообменом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жалюзи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дефлектора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перекрытии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5.1.24.7.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5.1.24.8.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3,25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5.1.24.9.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курения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стене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«Газ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Взрывоопасно»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5.1.24.10.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Склад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молниеотвода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5.1.24.11.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отбирать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опорожнения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искру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заполнения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тащить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волоком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огнетушителям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организаци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возникнов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жесткость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расчетной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подвеска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агрессивной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неравномерная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фундамента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пучение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ководству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ийных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указанию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всю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нарушает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невоз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можности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дальнейшей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автотранспорте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выведения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пролива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дорогу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пролива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«Въезд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запрещен»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устанавливаемыми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мигающим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красным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фонарем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запрещающими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вынужденной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причинах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БДД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отбуксирования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немедленного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вызова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автотранспортного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вынужденной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подразделение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инцидента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подразделение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карточки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первичной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инцидента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отогнать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лиже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жилых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низину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стравливания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штуцер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возвращен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прибытии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инцидента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проинформировать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предъявить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перевозимый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инцидента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выгрузке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обязано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инцидента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перечисленными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карточке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инцидента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оказавшийся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допровода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обнаруживший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голосом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6.3.6.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равмировании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вки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завернуть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заглушку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исключающее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удос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товерится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8645B" w:rsidRDefault="009D2E8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8645B" w:rsidRDefault="009D2E8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645B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D2E8A" w:rsidRPr="009D2E8A" w:rsidRDefault="009D2E8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D2E8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https://1otruda.ru/#/document/118/94198/</w:t>
      </w:r>
    </w:p>
    <w:sectPr w:rsidR="009D2E8A" w:rsidRPr="009D2E8A" w:rsidSect="00E8645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75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469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7A1A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CB7A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D2E8A"/>
    <w:rsid w:val="00B73A5A"/>
    <w:rsid w:val="00E438A1"/>
    <w:rsid w:val="00E8645B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7037</Words>
  <Characters>40111</Characters>
  <Application>Microsoft Office Word</Application>
  <DocSecurity>0</DocSecurity>
  <Lines>334</Lines>
  <Paragraphs>94</Paragraphs>
  <ScaleCrop>false</ScaleCrop>
  <Company/>
  <LinksUpToDate>false</LinksUpToDate>
  <CharactersWithSpaces>47054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2022-11-18T05:08:00Z</dcterms:modified>
</cp:coreProperties>
</file>